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812034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532814">
        <w:rPr>
          <w:bCs/>
          <w:noProof w:val="0"/>
          <w:sz w:val="24"/>
          <w:szCs w:val="24"/>
        </w:rPr>
        <w:t>2110809</w:t>
      </w:r>
    </w:p>
    <w:p w14:paraId="11776FA6" w14:textId="51155E42"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EF0A5C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E7C67">
        <w:rPr>
          <w:rFonts w:cs="Arial"/>
          <w:b/>
          <w:bCs/>
          <w:sz w:val="24"/>
          <w:lang w:eastAsia="ja-JP"/>
        </w:rPr>
        <w:t>8.6.2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836827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E7C67">
        <w:rPr>
          <w:rFonts w:ascii="Arial" w:hAnsi="Arial" w:cs="Arial"/>
          <w:b/>
          <w:bCs/>
          <w:sz w:val="24"/>
        </w:rPr>
        <w:t>UP aspects for SDT</w:t>
      </w:r>
    </w:p>
    <w:p w14:paraId="1F147C23" w14:textId="08A63F1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E7C67" w:rsidRPr="006E7C67">
        <w:rPr>
          <w:rFonts w:ascii="Arial" w:hAnsi="Arial" w:cs="Arial"/>
          <w:b/>
          <w:bCs/>
          <w:sz w:val="24"/>
        </w:rPr>
        <w:t xml:space="preserve">NR_SmallData_INACTIVE-Core </w:t>
      </w:r>
      <w:r>
        <w:rPr>
          <w:rFonts w:ascii="Arial" w:hAnsi="Arial" w:cs="Arial"/>
          <w:b/>
          <w:bCs/>
          <w:sz w:val="24"/>
        </w:rPr>
        <w:t xml:space="preserve">- Release </w:t>
      </w:r>
      <w:r w:rsidR="006E7C67">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CC22EB4" w:rsidR="007F2E08" w:rsidRDefault="006E7C67" w:rsidP="00A209D6">
      <w:r>
        <w:t>The following points remained FFS from the previous meeting:</w:t>
      </w:r>
    </w:p>
    <w:tbl>
      <w:tblPr>
        <w:tblStyle w:val="TableGrid"/>
        <w:tblW w:w="0" w:type="auto"/>
        <w:tblLook w:val="04A0" w:firstRow="1" w:lastRow="0" w:firstColumn="1" w:lastColumn="0" w:noHBand="0" w:noVBand="1"/>
      </w:tblPr>
      <w:tblGrid>
        <w:gridCol w:w="9631"/>
      </w:tblGrid>
      <w:tr w:rsidR="006E7C67" w14:paraId="7D88DD77" w14:textId="77777777" w:rsidTr="006E7C67">
        <w:tc>
          <w:tcPr>
            <w:tcW w:w="9631" w:type="dxa"/>
          </w:tcPr>
          <w:p w14:paraId="0C380894" w14:textId="799295EA" w:rsidR="006E7C67" w:rsidRDefault="006E7C67" w:rsidP="00A209D6">
            <w:r w:rsidRPr="006E7C67">
              <w:t>5.</w:t>
            </w:r>
            <w:r w:rsidRPr="006E7C67">
              <w:tab/>
              <w:t>FFS Whether the BSR configuration used for SDT is configured by gNB or used from default configuration needs further discussion. (gNB 10 / default 11)</w:t>
            </w:r>
          </w:p>
          <w:p w14:paraId="6A10DBDE" w14:textId="77777777" w:rsidR="00F9640D" w:rsidRDefault="00F9640D" w:rsidP="00A209D6">
            <w:r w:rsidRPr="00F9640D">
              <w:t>11.</w:t>
            </w:r>
            <w:r w:rsidRPr="00F9640D">
              <w:tab/>
              <w:t xml:space="preserve">At initiation of SDT procedure, the RRC indicates to the PDCP to disable the PDCP status report, </w:t>
            </w:r>
            <w:proofErr w:type="gramStart"/>
            <w:r w:rsidRPr="00F9640D">
              <w:t>e.g.</w:t>
            </w:r>
            <w:proofErr w:type="gramEnd"/>
            <w:r w:rsidRPr="00F9640D">
              <w:t xml:space="preserve"> by de-configuring statusReportRequired (i.e. UE internally indicates).  FFS how PDCP status reporting is enabled.    </w:t>
            </w:r>
          </w:p>
          <w:p w14:paraId="4594EE5A" w14:textId="580F9D42" w:rsidR="006E7C67" w:rsidRDefault="006E7C67" w:rsidP="00A209D6">
            <w:r w:rsidRPr="006E7C67">
              <w:t>14.</w:t>
            </w:r>
            <w:r w:rsidRPr="006E7C67">
              <w:tab/>
              <w:t xml:space="preserve">Working assumption: LCH restrictions can be applied, re-using existing signalling.  It is up to gNB how restrictions are </w:t>
            </w:r>
            <w:proofErr w:type="gramStart"/>
            <w:r w:rsidRPr="006E7C67">
              <w:t>configured</w:t>
            </w:r>
            <w:proofErr w:type="gramEnd"/>
            <w:r w:rsidRPr="006E7C67">
              <w:t xml:space="preserve"> and MAC applies current specification rules.   Revisit next meeting if we have technical issues.   </w:t>
            </w:r>
          </w:p>
        </w:tc>
      </w:tr>
    </w:tbl>
    <w:p w14:paraId="608671A0" w14:textId="4DBA6FEA" w:rsidR="006E7C67" w:rsidRDefault="006E7C67" w:rsidP="00A209D6"/>
    <w:p w14:paraId="0464432C" w14:textId="4C4A5360" w:rsidR="006E7C67" w:rsidRDefault="006E7C67" w:rsidP="00A209D6">
      <w:r>
        <w:t>In this contribution, we discuss these FFS points as well as other issues.</w:t>
      </w:r>
    </w:p>
    <w:p w14:paraId="4F547731" w14:textId="247BA9A7" w:rsidR="00A209D6" w:rsidRPr="006E13D1" w:rsidRDefault="00A209D6" w:rsidP="00B7538C">
      <w:pPr>
        <w:pStyle w:val="Heading1"/>
      </w:pPr>
      <w:r w:rsidRPr="006E13D1">
        <w:t>2</w:t>
      </w:r>
      <w:r w:rsidRPr="006E13D1">
        <w:tab/>
      </w:r>
      <w:r w:rsidR="006E7C67">
        <w:t>Discussion</w:t>
      </w:r>
    </w:p>
    <w:p w14:paraId="5F01C058" w14:textId="6378CAB6" w:rsidR="00A209D6" w:rsidRPr="006E13D1" w:rsidRDefault="00B7538C" w:rsidP="00A209D6">
      <w:pPr>
        <w:pStyle w:val="Heading2"/>
      </w:pPr>
      <w:r>
        <w:t>2</w:t>
      </w:r>
      <w:r w:rsidR="00A209D6" w:rsidRPr="006E13D1">
        <w:t>.1</w:t>
      </w:r>
      <w:r w:rsidR="00A209D6" w:rsidRPr="006E13D1">
        <w:tab/>
      </w:r>
      <w:r w:rsidR="006E7C67">
        <w:t>BSR configuration for SDT</w:t>
      </w:r>
    </w:p>
    <w:p w14:paraId="6D65427F" w14:textId="53E8C981" w:rsidR="006E7C67" w:rsidRDefault="006E7C67" w:rsidP="00B7538C">
      <w:r>
        <w:t>It was left FFS in the previous RAN2#115-e meeting whether the BSR configuration for the SDT cou</w:t>
      </w:r>
      <w:r w:rsidR="00F956F8">
        <w:t>ld be configured by the anchor gNB upon release of the UE to RRC_INACTIVE or whether a default configuration could be defined and applied. The default configuration could allow the target gNB to identify immediately at least roughly what kind of SDT data the UE would have for transmission (e.g., SRB vs. DRB data) while with anchor gNB configured BSR configuration the target gNB would be able to decode the UE sent BSR only after context fetch. On the other hand, the anchor gNB configured BSR configuration could eventually provide more granular information about the UE’s SDT data in the buffer.</w:t>
      </w:r>
    </w:p>
    <w:p w14:paraId="24872B50" w14:textId="11B6CDE4" w:rsidR="00F956F8" w:rsidRDefault="00F956F8" w:rsidP="00B7538C">
      <w:r>
        <w:t xml:space="preserve">It seems the knowledge whether the SDT data includes CP or UP data could suffice for the target gNB to decide how to serve the UE already – and that could be made even before context fetch. Hence, the default BSR configuration seems sufficient for SDT purposes. </w:t>
      </w:r>
      <w:r w:rsidR="00D212BB">
        <w:t>As the SRBs are already allocated for LCG0 in the current default configuration, all the SDT DRBs could be allocated to LCG1.</w:t>
      </w:r>
    </w:p>
    <w:p w14:paraId="2D056850" w14:textId="328B1A1A" w:rsidR="00D212BB" w:rsidRPr="00D212BB" w:rsidRDefault="00D212BB" w:rsidP="00B7538C">
      <w:pPr>
        <w:rPr>
          <w:b/>
          <w:bCs/>
        </w:rPr>
      </w:pPr>
      <w:r>
        <w:rPr>
          <w:b/>
          <w:bCs/>
        </w:rPr>
        <w:t>Proposal 1: Default BSR configuration for SDT is specified where SRBs and DRBs belong to different LCG.</w:t>
      </w:r>
    </w:p>
    <w:p w14:paraId="19311D18" w14:textId="6D2BFDC1" w:rsidR="00F9640D" w:rsidRDefault="00F9640D" w:rsidP="00D212BB">
      <w:pPr>
        <w:pStyle w:val="Heading2"/>
      </w:pPr>
      <w:r>
        <w:t>2.2</w:t>
      </w:r>
      <w:r>
        <w:tab/>
        <w:t>PDCP status report</w:t>
      </w:r>
    </w:p>
    <w:p w14:paraId="4BB2D04C" w14:textId="33DB6509" w:rsidR="00F9640D" w:rsidRDefault="00F9640D" w:rsidP="00F9640D">
      <w:r>
        <w:t xml:space="preserve">In the last meeting, it was agreed the RRC disables the PDCP status report for SDT DRBs upon SDT procedure initiation. It was left FFS how PDCP status reporting is enabled after this. As the PDCP status report is basically only required for HO scenario, it seems straightforward to assume the NW can enable the status report in the HO command. It should be noted that the PDCP status report disabling should happen only when the SDT procedure can be initiated, ie., after the conditions to start SDT procedure are fulfilled. After this, the NW either will get to know that the UE is performing </w:t>
      </w:r>
      <w:proofErr w:type="gramStart"/>
      <w:r>
        <w:t>SDT</w:t>
      </w:r>
      <w:proofErr w:type="gramEnd"/>
      <w:r>
        <w:t xml:space="preserve"> or the UE will end up to IDLE mode upon SDT procedure failure.</w:t>
      </w:r>
    </w:p>
    <w:p w14:paraId="02BFE46A" w14:textId="2E4F678A" w:rsidR="00F9640D" w:rsidRPr="00F9640D" w:rsidRDefault="00F9640D" w:rsidP="00F9640D">
      <w:pPr>
        <w:rPr>
          <w:b/>
          <w:bCs/>
        </w:rPr>
      </w:pPr>
      <w:r>
        <w:rPr>
          <w:b/>
          <w:bCs/>
        </w:rPr>
        <w:lastRenderedPageBreak/>
        <w:t>Proposal 2: NW explicitly configures PDCP status reporting for SDT DRBs for which it has been disabled during SDT proceure.</w:t>
      </w:r>
    </w:p>
    <w:p w14:paraId="1471D3C2" w14:textId="4CDB6EA9" w:rsidR="00D212BB" w:rsidRDefault="00D212BB" w:rsidP="00D212BB">
      <w:pPr>
        <w:pStyle w:val="Heading2"/>
      </w:pPr>
      <w:r>
        <w:t>2.</w:t>
      </w:r>
      <w:r w:rsidR="00F9640D">
        <w:t>3</w:t>
      </w:r>
      <w:r>
        <w:tab/>
      </w:r>
      <w:r w:rsidR="00B269B9">
        <w:t>LCH restrictions</w:t>
      </w:r>
    </w:p>
    <w:p w14:paraId="0496E2F7" w14:textId="677345E0" w:rsidR="000357A2" w:rsidRDefault="000357A2" w:rsidP="00D212BB">
      <w:r>
        <w:t xml:space="preserve">The usage of LCH restrictions could be applied, e.g., in case the NW intends certain DRB(s)/LCH(s) to only utilize the configured CG SDT resources. When the SDT is initiated given data availability in these certain DRB(s) and all other conditions are fulfilled, the procedure goes smoothly until data appears on any of the SDT DRB(s) not allowed to access the configured CG SDT resources. In this case, the SDT DRBs not allowed for the current CG SDT resources are </w:t>
      </w:r>
      <w:proofErr w:type="gramStart"/>
      <w:r>
        <w:t>similar to</w:t>
      </w:r>
      <w:proofErr w:type="gramEnd"/>
      <w:r>
        <w:t xml:space="preserve"> non-SDT DRBs given they cannot be transmitted using the resources available for the CG SDT procedure.</w:t>
      </w:r>
      <w:r w:rsidR="005A392D">
        <w:t xml:space="preserve"> Hence, they should be considered as non-SDT DRBs for the duration of the current SDT procedure.</w:t>
      </w:r>
    </w:p>
    <w:p w14:paraId="3380CBB1" w14:textId="417D1248" w:rsidR="000357A2" w:rsidRPr="000357A2" w:rsidRDefault="000357A2" w:rsidP="00D212BB">
      <w:pPr>
        <w:rPr>
          <w:b/>
          <w:bCs/>
        </w:rPr>
      </w:pPr>
      <w:r>
        <w:rPr>
          <w:b/>
          <w:bCs/>
        </w:rPr>
        <w:t xml:space="preserve">Proposal </w:t>
      </w:r>
      <w:r w:rsidR="00F9640D">
        <w:rPr>
          <w:b/>
          <w:bCs/>
        </w:rPr>
        <w:t>3</w:t>
      </w:r>
      <w:r>
        <w:rPr>
          <w:b/>
          <w:bCs/>
        </w:rPr>
        <w:t>: SDT DRBs that cannot be multiplexed on SDT resources available in the</w:t>
      </w:r>
      <w:r w:rsidR="005A392D">
        <w:rPr>
          <w:b/>
          <w:bCs/>
        </w:rPr>
        <w:t xml:space="preserve"> current</w:t>
      </w:r>
      <w:r>
        <w:rPr>
          <w:b/>
          <w:bCs/>
        </w:rPr>
        <w:t xml:space="preserve"> SDT procedure due to LCH restrictions should be considered as non-SDT DRBs</w:t>
      </w:r>
      <w:r w:rsidR="005A392D">
        <w:rPr>
          <w:b/>
          <w:bCs/>
        </w:rPr>
        <w:t xml:space="preserve"> for the duration of the SDT procedure</w:t>
      </w:r>
      <w:r>
        <w:rPr>
          <w:b/>
          <w:bCs/>
        </w:rPr>
        <w:t>.</w:t>
      </w:r>
    </w:p>
    <w:p w14:paraId="5FF2457F" w14:textId="4ADBBB53" w:rsidR="00A209D6" w:rsidRPr="006E13D1" w:rsidRDefault="00F9640D" w:rsidP="00A209D6">
      <w:pPr>
        <w:pStyle w:val="Heading1"/>
      </w:pPr>
      <w:r>
        <w:t>3</w:t>
      </w:r>
      <w:r w:rsidR="00A209D6" w:rsidRPr="006E13D1">
        <w:tab/>
      </w:r>
      <w:r w:rsidR="008C3057">
        <w:t>Conclusion</w:t>
      </w:r>
    </w:p>
    <w:p w14:paraId="2EFDE341" w14:textId="77777777" w:rsidR="00F9640D" w:rsidRPr="00D212BB" w:rsidRDefault="00F9640D" w:rsidP="00F9640D">
      <w:pPr>
        <w:rPr>
          <w:b/>
          <w:bCs/>
        </w:rPr>
      </w:pPr>
      <w:r>
        <w:rPr>
          <w:b/>
          <w:bCs/>
        </w:rPr>
        <w:t>Proposal 1: Default BSR configuration for SDT is specified where SRBs and DRBs belong to different LCG.</w:t>
      </w:r>
    </w:p>
    <w:p w14:paraId="5D040B14" w14:textId="77777777" w:rsidR="00F9640D" w:rsidRPr="00F9640D" w:rsidRDefault="00F9640D" w:rsidP="00F9640D">
      <w:pPr>
        <w:rPr>
          <w:b/>
          <w:bCs/>
        </w:rPr>
      </w:pPr>
      <w:r>
        <w:rPr>
          <w:b/>
          <w:bCs/>
        </w:rPr>
        <w:t>Proposal 2: NW explicitly configures PDCP status reporting for SDT DRBs for which it has been disabled during SDT proceure.</w:t>
      </w:r>
    </w:p>
    <w:p w14:paraId="7F29EFA1" w14:textId="77777777" w:rsidR="00F9640D" w:rsidRPr="000357A2" w:rsidRDefault="00F9640D" w:rsidP="00F9640D">
      <w:pPr>
        <w:rPr>
          <w:b/>
          <w:bCs/>
        </w:rPr>
      </w:pPr>
      <w:r>
        <w:rPr>
          <w:b/>
          <w:bCs/>
        </w:rPr>
        <w:t>Proposal 3: SDT DRBs that cannot be multiplexed on SDT resources available in the current SDT procedure due to LCH restrictions should be considered as non-SDT DRBs for the duration of the SDT procedure.</w:t>
      </w:r>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C2BC0" w14:textId="77777777" w:rsidR="00E859B6" w:rsidRDefault="00E859B6">
      <w:r>
        <w:separator/>
      </w:r>
    </w:p>
  </w:endnote>
  <w:endnote w:type="continuationSeparator" w:id="0">
    <w:p w14:paraId="4E387D3F" w14:textId="77777777" w:rsidR="00E859B6" w:rsidRDefault="00E859B6">
      <w:r>
        <w:continuationSeparator/>
      </w:r>
    </w:p>
  </w:endnote>
  <w:endnote w:type="continuationNotice" w:id="1">
    <w:p w14:paraId="24B5432A"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AE1B7" w14:textId="77777777" w:rsidR="00E859B6" w:rsidRDefault="00E859B6">
      <w:r>
        <w:separator/>
      </w:r>
    </w:p>
  </w:footnote>
  <w:footnote w:type="continuationSeparator" w:id="0">
    <w:p w14:paraId="57845BE7" w14:textId="77777777" w:rsidR="00E859B6" w:rsidRDefault="00E859B6">
      <w:r>
        <w:continuationSeparator/>
      </w:r>
    </w:p>
  </w:footnote>
  <w:footnote w:type="continuationNotice" w:id="1">
    <w:p w14:paraId="59327D6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57A2"/>
    <w:rsid w:val="00040095"/>
    <w:rsid w:val="00065268"/>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D55F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2814"/>
    <w:rsid w:val="00534DA0"/>
    <w:rsid w:val="00543E6C"/>
    <w:rsid w:val="00565087"/>
    <w:rsid w:val="0056573F"/>
    <w:rsid w:val="00571279"/>
    <w:rsid w:val="005A392D"/>
    <w:rsid w:val="005A49C6"/>
    <w:rsid w:val="00611566"/>
    <w:rsid w:val="00646D99"/>
    <w:rsid w:val="00656910"/>
    <w:rsid w:val="006574C0"/>
    <w:rsid w:val="00696821"/>
    <w:rsid w:val="006C66D8"/>
    <w:rsid w:val="006D1E24"/>
    <w:rsid w:val="006D35DE"/>
    <w:rsid w:val="006E1057"/>
    <w:rsid w:val="006E1417"/>
    <w:rsid w:val="006E7C6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C27"/>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9671C"/>
    <w:rsid w:val="00AA1553"/>
    <w:rsid w:val="00B05380"/>
    <w:rsid w:val="00B05962"/>
    <w:rsid w:val="00B15449"/>
    <w:rsid w:val="00B16C2F"/>
    <w:rsid w:val="00B269B9"/>
    <w:rsid w:val="00B27303"/>
    <w:rsid w:val="00B47FD1"/>
    <w:rsid w:val="00B516BB"/>
    <w:rsid w:val="00B606E6"/>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212B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22EE"/>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87725"/>
    <w:rsid w:val="00F941DF"/>
    <w:rsid w:val="00F956F8"/>
    <w:rsid w:val="00F9640D"/>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E7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83f22d2f-d16e-4be6-ad4f-29fa0b067c3c"/>
    <ds:schemaRef ds:uri="a3840f4f-04be-43d1-b2ef-6ff1382503c7"/>
    <ds:schemaRef ds:uri="http://www.w3.org/XML/1998/namespac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Pages>
  <Words>727</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4396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5</cp:revision>
  <dcterms:created xsi:type="dcterms:W3CDTF">2021-10-19T10:57:00Z</dcterms:created>
  <dcterms:modified xsi:type="dcterms:W3CDTF">2021-10-21T17:49:00Z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